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1A" w:rsidRPr="004A2D1A" w:rsidRDefault="006D41EE" w:rsidP="004A2D1A">
      <w:pPr>
        <w:shd w:val="clear" w:color="auto" w:fill="FFFFFF"/>
        <w:spacing w:after="18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4A2D1A">
        <w:rPr>
          <w:rFonts w:eastAsia="Times New Roman" w:cstheme="minorHAnsi"/>
          <w:color w:val="000000"/>
          <w:lang w:eastAsia="pl-PL"/>
        </w:rPr>
        <w:t xml:space="preserve">Załącznik do uchwały Nr </w:t>
      </w:r>
      <w:r w:rsidR="009F3F29" w:rsidRPr="004A2D1A">
        <w:rPr>
          <w:rFonts w:eastAsia="Times New Roman" w:cstheme="minorHAnsi"/>
          <w:color w:val="000000"/>
          <w:lang w:eastAsia="pl-PL"/>
        </w:rPr>
        <w:t>….</w:t>
      </w:r>
      <w:r w:rsidRPr="004A2D1A">
        <w:rPr>
          <w:rFonts w:eastAsia="Times New Roman" w:cstheme="minorHAnsi"/>
          <w:color w:val="000000"/>
          <w:lang w:eastAsia="pl-PL"/>
        </w:rPr>
        <w:br/>
        <w:t>Rady Miejskiej w Krynicy-Zdroju</w:t>
      </w:r>
      <w:r w:rsidRPr="004A2D1A">
        <w:rPr>
          <w:rFonts w:eastAsia="Times New Roman" w:cstheme="minorHAnsi"/>
          <w:color w:val="000000"/>
          <w:lang w:eastAsia="pl-PL"/>
        </w:rPr>
        <w:br/>
        <w:t xml:space="preserve">z dnia </w:t>
      </w:r>
      <w:r w:rsidR="009F3F29" w:rsidRPr="004A2D1A">
        <w:rPr>
          <w:rFonts w:eastAsia="Times New Roman" w:cstheme="minorHAnsi"/>
          <w:color w:val="000000"/>
          <w:lang w:eastAsia="pl-PL"/>
        </w:rPr>
        <w:t>…..</w:t>
      </w:r>
      <w:r w:rsidRPr="004A2D1A">
        <w:rPr>
          <w:rFonts w:eastAsia="Times New Roman" w:cstheme="minorHAnsi"/>
          <w:color w:val="000000"/>
          <w:lang w:eastAsia="pl-PL"/>
        </w:rPr>
        <w:t>.</w:t>
      </w:r>
      <w:r w:rsidRPr="004A2D1A">
        <w:rPr>
          <w:rFonts w:eastAsia="Times New Roman" w:cstheme="minorHAnsi"/>
          <w:color w:val="000000"/>
          <w:lang w:eastAsia="pl-PL"/>
        </w:rPr>
        <w:br/>
      </w:r>
    </w:p>
    <w:p w:rsidR="006D41EE" w:rsidRPr="004A2D1A" w:rsidRDefault="006D41EE" w:rsidP="004A2D1A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Program współpracy Gminy Krynicy-Zdroju z organizacjami pozarządowymi</w:t>
      </w:r>
      <w:r w:rsidR="009F3F29"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oraz podmiotami wymienionymi w art. 3 ust. 3 ustawy z dnia 24 kwietnia 2003 r.</w:t>
      </w:r>
      <w:r w:rsidR="009F3F29"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o działalności pożytku publicznego i o wolontariacie</w:t>
      </w:r>
      <w:r w:rsidR="009F3F29"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na rok 202</w:t>
      </w:r>
      <w:r w:rsidR="00B76E0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</w:p>
    <w:p w:rsidR="004A2D1A" w:rsidRDefault="004A2D1A" w:rsidP="00FD749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D41EE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Postanowienia ogólne</w:t>
      </w:r>
    </w:p>
    <w:p w:rsidR="004A2D1A" w:rsidRPr="004A2D1A" w:rsidRDefault="004A2D1A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1.</w:t>
      </w:r>
    </w:p>
    <w:p w:rsid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 Program Współpracy na rok 20</w:t>
      </w:r>
      <w:r w:rsidR="00B76E0A">
        <w:rPr>
          <w:rFonts w:eastAsia="Times New Roman" w:cstheme="minorHAnsi"/>
          <w:color w:val="000000"/>
          <w:sz w:val="24"/>
          <w:szCs w:val="24"/>
          <w:lang w:eastAsia="pl-PL"/>
        </w:rPr>
        <w:t>25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określa:</w:t>
      </w:r>
    </w:p>
    <w:p w:rsidR="004A2D1A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1)cele, zasady, przedmiot  oraz formy współpracy Gminy Krynicy-Zdroju z organizacjami pozarządowymi oraz podmiotami wymienionymi w art.3 ust.3 Ustawy o działalności pożytku publicznego i o wolontariacie;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2)priorytetowe zadania publiczne, których realizację Gmina Krynica-Zdrój będzie wspierać;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3)okres i sposób realizacji  Programu, wysokość środków planowanych na jego realizację oraz  sposób jego oceny;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4)informację o sposobie tworzenia Programu oraz o przebiegu konsultacji;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5)tryb powoływania i zasady działania komisji konkursowych do opiniowania ofert w otwartych konkursach ofert.</w:t>
      </w:r>
    </w:p>
    <w:p w:rsid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2.</w:t>
      </w:r>
    </w:p>
    <w:p w:rsidR="006D41EE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>Ilekroć w niniejszym Programie jest mowa o:</w:t>
      </w: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br/>
        <w:t>1.Ustawie - należy przez to rozumieć ustawę z dnia 24 kwietnia 2003 r. o działalności pożytku publicznego i o wolontariacie (</w:t>
      </w:r>
      <w:proofErr w:type="spellStart"/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B76E0A" w:rsidRPr="00B76E0A">
        <w:rPr>
          <w:sz w:val="24"/>
          <w:szCs w:val="24"/>
        </w:rPr>
        <w:t>Dz. U. z 2023 r. poz. 571, z 2024 r. poz. 834</w:t>
      </w: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2.Organizacjach - należy przez to rozumieć organ</w:t>
      </w:r>
      <w:r w:rsidR="00FD7490" w:rsidRPr="004A2D1A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zacje pozarządowe oraz podmioty wymienione w art. 3 ust. 3 ustawy z dnia 24 kwietnia 2003 r. o działalności pożytku publicznego i o wolontariacie;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3.Programie - należy przez to rozumieć niniejszy „Program współpracy Gminy Krynicy-Zdroju z organizacjami pozarządowymi oraz podmiotami wymienionymi w art. 3 ust. 3 ustawy z dnia 24 kwietnia 2003 r. o działalności pożytku publicznego i o wolontariacie na rok 202</w:t>
      </w:r>
      <w:r w:rsidR="00B76E0A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”;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4.Gminie - należy przez to rozumieć Gminę Krynicę-Zdrój;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5.Mieszkańcach - należy przez to rozumieć Mieszkańców Gminy Krynicy-Zdroju;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6.Burmistrzu - należy przez to rozumieć Burmistrza Krynicy-Zdroju;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7.Urzędzie - należy przez to rozumieć Urząd Miejski w Krynicy-Zdroju;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8.Radzie - należy przez to rozumieć Radę Miejską w Krynicy-Zdroju;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9.Dotacji – rozumie się przez to dotację w rozumieniu art. 127 ust. 1 pkt 1 lit. e oraz art. 221 ustawy z dnia 27 sierpnia 2009 o </w:t>
      </w: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>finansach publicznych (</w:t>
      </w:r>
      <w:r w:rsidR="00B76E0A" w:rsidRPr="00B76E0A">
        <w:rPr>
          <w:sz w:val="24"/>
          <w:szCs w:val="24"/>
        </w:rPr>
        <w:t>Dz. U. z 2023 r. poz. 1270, 1273, 1407, 1429, 1641, 1693,</w:t>
      </w:r>
      <w:r w:rsidR="00B76E0A">
        <w:rPr>
          <w:sz w:val="24"/>
          <w:szCs w:val="24"/>
        </w:rPr>
        <w:t xml:space="preserve"> 1872, z 2024 r. poz. 858, 1089</w:t>
      </w: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  <w:r w:rsidRPr="00B76E0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10.Konkursie – rozumie się przez to otwarty konkurs ofert, o którym mowa w art. 11 ust.2 ustawy;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11.Jednostkach organizacyjnych Gminy – należy przez to rozumieć jednostki powołane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przez Gminę Krynicę-Zdrój w celu wykonywania zadań Gminy: Bibliotekę Publiczną, Centrum Kultury, Ośrodek Pomocy Społecznej, Miejski Ośrodek Sportu i Rekreacji, Centrum Księgowo-Administracyjne Oświaty, Zespół Szkolno-Przedszkolny nr 1, Szkołę Podstawowa nr 2,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Gminne Przedszkole nr 2, Samorządowe Centrum Edukacji Szkolnej w Tyliczu, Samorządowe Centrum Edukacji Szkolnej w Bereście, Szkołę Podstawową w Piorunce, Szkołę Podstawową w Polanach, Zakład Wodociągów i Kanalizacji, Środowiskowy Dom Samopomocy;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12.Komórkach organizacyjnych – należy przez to rozumieć Wydziały i Referaty Urzędu Miejskiego w Krynicy-Zdroju.</w:t>
      </w:r>
    </w:p>
    <w:p w:rsid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2.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Cel główny i cele szczegółowe Programu</w:t>
      </w:r>
    </w:p>
    <w:p w:rsid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3.</w:t>
      </w:r>
    </w:p>
    <w:p w:rsidR="006D41EE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Głównym celem Programu jest wspieranie rozwoju społeczeństwa obywatelskiego i budowanie partnerskich relacji między Gminą a Organizacjami zapewniających lepsze zaspokajanie potrzeb społecznych oraz podnoszenie poziomu i jakości życia Mieszkańców, wzmacnianie roli aktywności obywatelskiej w rozwiązywaniu problemów lokalnych.</w:t>
      </w:r>
    </w:p>
    <w:p w:rsidR="004A2D1A" w:rsidRP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462EE" w:rsidRDefault="006D41EE" w:rsidP="00B462E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4.</w:t>
      </w:r>
    </w:p>
    <w:p w:rsidR="006D41EE" w:rsidRPr="004A2D1A" w:rsidRDefault="006D41EE" w:rsidP="00B462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Cele szczegółowe Programu wynikają z założonego celu głównego i są to: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1.Wzmocnienie wpływu Mieszkańców i Organizacji na proces tworzenia polityk publicznych oraz zwiększenie ich udziału w rozwiązywaniu lokalnych problemów;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2.Podniesienie efektywności wydatkowania publicznych środków finansowych;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3.Wzmocnienie innowacyjności i konkurencyjności w wykonywaniu zadań publicznych;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4.Podniesienie poziomu profesjonalizacji działań Organizacji i rozwój wolontariatu;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5.Integracja i upowszechnienie partnerstwa wśród Organizacji i innych podmiotów w zakresie działania na rzecz Gminy i społeczności lokalnej.</w:t>
      </w:r>
    </w:p>
    <w:p w:rsid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3.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Zasady współpracy</w:t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5.</w:t>
      </w:r>
    </w:p>
    <w:p w:rsidR="006D41EE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Gmina przy współpracy z Organizacjami kieruje się następującymi zasadami: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1.Partnerstwa - co oznacza, że Organizacje oraz inne podmioty, na zasadach i  w formie określonej w ustawie oraz zgodnie z trybem wynikającym z odrębnych przepisów, uczestniczą w identyfikowaniu i definiowaniu problemów społecznych, wypracowywaniu sposobów ich rozwiązywania oraz wykonywaniu zadań publicznych;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2.Pomocniczości (subsydiarności), zgodnie z którą, Gmina przekazuje Organizacjom kompetencje i środki do działania wszędzie tam, gdzie to jest możliwe, zaś Organizacje te aktywnie uczestniczą w określeniu zakresu współpracy i rzetelnej realizacji zadań;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3.Efektywności, w myśl której Gmina wykorzystuje współpracę z Organizacjami do efektywnej realizacji zadań </w:t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społeczno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ekonomicznych;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4.Jawności podejmowanych działań, zgodnie z którą organy Gminy udostępniają współpracującym z nimi Organizacjom informacje o zamiarach i celach realizowanych zadań publicznych, w których możliwa jest współpraca z tymi Organizacjami;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5.Legalności, w myśl której wszelkie działania organów Gminy oraz Organizacji odbywają się w granicach i na podstawie przepisów prawa;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6.Uczciwej konkurencji – co oznacza, że Gmina zlecać będzie wykonanie zadań publicznych w oparciu o otwarty konkurs ofert;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7.Suwerenności stron, która oznacza, że Gmina i Organizacje realizując zadania publiczne są w stosunku do siebie równorzędnymi partnerami.</w:t>
      </w:r>
    </w:p>
    <w:p w:rsid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Rozdział 4.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Przedmiot współpracy</w:t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6.</w:t>
      </w:r>
    </w:p>
    <w:p w:rsidR="006D41EE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1.Gmina współpracuje z Organizacjami w sferze zadań publicznych określonych w art. 4 ust. 1. Ustawy.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2.Przedmiotem współpracy Gminy z Organizacjami jest: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1)włączenie organizacji pozarządowych w diagnozę potrzeb lokalnych i w planowanie polityk publicznych,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2)realizacja zadań własnych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3)tworzenie warunków do rozwoju aktywności społecznej i obywatelskiej.</w:t>
      </w:r>
    </w:p>
    <w:p w:rsid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5.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Formy współpracy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7.</w:t>
      </w:r>
    </w:p>
    <w:p w:rsidR="006D41EE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1.Współpraca między Gminą a Organizacjami realizowana jest w formie finansowej i pozafinansowej.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2.Współpraca finansowa obejmuje: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1)zlecanie Organizacjom realizacji zadań publicznych Gminy w trybie otwartego konkursu ofert, na zasadach określonych w ustawie, w formach powierzenia wykonania zadania publicznego lub wspierania takiego zadania publicznego zgodnie z priorytetowymi zadaniami wyznaczonymi w Programie,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2)zlecanie Organizacjom realizacji zadań publicznych Gminy w trybie pozakonkursowym na podstawie art. 19a ustawy zgodnie z priorytetowymi zadaniami wyznaczanymi w programie, jeśli na ten cel zostały zabezpieczone środki finansowe,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3)możliwość złożenia przez Organizacje wniosku z własnej inicjatywy. W przypadku uznania przez Gminę celowości realizacji takiego zadania, Gmina podejmuje decyzję o trybie zlecenia realizacji takiego zadania zgodnie z art. 12 ustawy,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31486">
        <w:rPr>
          <w:rFonts w:eastAsia="Times New Roman" w:cstheme="minorHAnsi"/>
          <w:color w:val="000000"/>
          <w:sz w:val="24"/>
          <w:szCs w:val="24"/>
          <w:lang w:eastAsia="pl-PL"/>
        </w:rPr>
        <w:t>4)możliwość zawierania przez Gminę umów partnerskich z Organizacjami w celu wspólnej realizacji projektów finansowanych ze środków pozabudżetowych, z uwzględnieniem trybu wyboru partnera zgodnie z art. 28a ust. 4 ustawy z dnia 6 grudnia 2006 r. o zasadach prowadzenia polityki rozwoju (</w:t>
      </w:r>
      <w:r w:rsidR="0054499B" w:rsidRPr="00731486">
        <w:rPr>
          <w:sz w:val="24"/>
          <w:szCs w:val="24"/>
        </w:rPr>
        <w:t xml:space="preserve">Dz. U. </w:t>
      </w:r>
      <w:r w:rsidR="0054499B" w:rsidRPr="00731486">
        <w:rPr>
          <w:sz w:val="24"/>
          <w:szCs w:val="24"/>
        </w:rPr>
        <w:t>z 2024 r. poz. 324, 862</w:t>
      </w:r>
      <w:r w:rsidRPr="00731486">
        <w:rPr>
          <w:rFonts w:eastAsia="Times New Roman" w:cstheme="minorHAnsi"/>
          <w:color w:val="000000"/>
          <w:sz w:val="24"/>
          <w:szCs w:val="24"/>
          <w:lang w:eastAsia="pl-PL"/>
        </w:rPr>
        <w:t>) oraz porozumienia albo umowy o partnerstwie określonych w art. 33 ust. 1 ustawy z dnia 11 lipca 2014 r. o zasadach realizacji programów w zakresie polityki spójności finansowanych w perspektywie finansowej 2014-2020 (tj. Dz. U. z 2020 r. poz. 818),</w:t>
      </w:r>
      <w:r w:rsidRPr="00731486">
        <w:rPr>
          <w:rFonts w:eastAsia="Times New Roman" w:cstheme="minorHAnsi"/>
          <w:color w:val="000000"/>
          <w:sz w:val="24"/>
          <w:szCs w:val="24"/>
          <w:lang w:eastAsia="pl-PL"/>
        </w:rPr>
        <w:br/>
        <w:t>5)zakup usług w trybie Prawa Zamówień Publicznych w szczególności w zakresie promocji</w:t>
      </w:r>
      <w:bookmarkStart w:id="0" w:name="_GoBack"/>
      <w:bookmarkEnd w:id="0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6)udzielania, w miarę możliwości finansowych, pożyczek organizacjom pozarządowym będącym organizatorami działań współfinansowanych ze środków Unii Europejskiej oraz innych środków pomocowych o charakterze refundacji na realizację projektu.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3.Współpraca pozafinansowa polega na: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1)bieżącej komunikacji i wymianie informacji w szczególności w zakresie: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a.rozpoznawania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potrzeb społeczności lokalnej i wspólnego planowania działań służących zaspokajaniu tych potrzeb,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b.planowania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Gminę i Organizacje kierunków działalności oraz współdziałania w celu zharmonizowania tych kierunków,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c.publikowania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ważnych informacji o działaniach podejmowanych przez Gminę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oraz przez Organizacje na stronie internetowej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2)konsultowaniu z Organizacjami projektów aktów normatywnych w dziedzinach dotyczących działalności statutowej tych Organizacji w tym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a.konsultacji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Rocznego Programu Współpracy w oparciu o proces zasięgania opinii Organizacji,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b.wykorzystania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konsultacjach z Organizacjami aktywnych form podnoszących ich efektywność, w tym otwartych spotkań z Organizacjami oraz konsultacji branżowych,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c.włączania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procesów konsultacyjnych wyników ewaluacji współpracy z lat ubiegłych oraz działań edukacyjnych służących ułatwieniu Organizacjom efektywny udział w konsultacjach,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d.konsultowania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projektów aktów normatywnych dotyczących sfery zadań publicznych z Miejską Radą Działalności Pożytku Publicznego w Krynicy-Zdroju,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e.zapraszania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Organizacji do udziału w pracach wspólnych zespołów o charakterze doradczym i konsultacyjnym, których zadaniem będzie tworzenie lub opiniowanie aktów normatywnych, dokumentów o charakterze strategicznym oraz rozwiązań służących lepszemu zaspokajaniu potrzeb mieszkańców,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3)inicjowaniu i wspieraniu przedsięwzięć, zadań i projektów partnerskich z Organizacjami opartych o współpracę pozafinansową, w oparciu o ustalone zasady,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4)zawieraniu umów o wykonanie inicjatywy lokalnej,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5)tworzeniu przez Gminę warunków do rozwoju współpracy Organizacji poprzez: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a.współorganizowanie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corocznego święta integracyjnego dla Organiz</w:t>
      </w:r>
      <w:r w:rsidR="003016D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acji w Gminie na ich wniosek,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b.stymulowanie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merytoryczne i organizacyjne wspieranie projektów partnerskich Organizacji,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6)udostępnianiu zasobów materialnych Gminy na działania Organizacji w oparciu o ustalone zasady korzystania, w tym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a.pomoc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miarę możliwości w uzyskaniu lokalu na działalność statutową Organizacji. Udostępnianie przez Gminę, w miarę możliwości, bezpłatnie posiadanych zasobów takich jak lokale (np. sale na spotkania), sprzęt techniczny Organizacjom realizującym swoje zadania statutowe, o ile są one zgodne z zadaniami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b.umożliwianie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miarę możliwości Organizacjom realizacji przedsięwzięć na terenie gminnych obiektów sportowych (stadionu, boisk szkolnych, hali sportowej),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7)inicjowaniu lub współorganizowaniu szkoleń i doradztwa dla Organizacji mających na celu rozwój i profesjonalizację ich działalności, w szczególności w zakresie pozyskiwania funduszy ze źródeł zewnętrznych,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8)przesyłaniu Organizacjom, w miarę posiadanej wiedzy, informacji nt. możliwości pozyskania funduszy zewnętrznych,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9)promowaniu przez Gminę działalności Organizacji i pomocy w tworzeniu ich pozytywnego wizerunku, m. in. poprzez wsparcie promocyjne organizowanych przez Organizacje wydarzeń i projektów, przekazywanie w miarę dostępności materiałów promocyjnych Gminy, publikację materiałów promocyjnych nt. Organizacji z terenu Gminy oraz pomoc w kontaktach z mediami lokalnymi i regionalnymi,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10)udzielaniu rekomendacji przez Gminę Organizacjom, które ubiegają się o dofinansowanie z innych źródeł,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11)ułatwianiu współpracy między Organizacjami a jednostkami organizacyjnymi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12)wspieraniu Organizacji w podejmowaniu współpracy z innymi podmiotami z terenu Gminy, Województwa i innych samorządów, szczególnie tych z którymi Gmina ma zawarte porozumienie o współpracy,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13)organizowaniu spotkań roboczych (w zależności od potrzeb) z przedstawicielami Organizacji,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14)prowadzeniu elektronicznej bazy danych nt. Organizacji działających na terenie Gminy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oraz jej aktualizowaniu na podstawie złożonych ankiet,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15)wskazaniu przez Burmistrza osoby odpowiedzialnej za współpracę z Organizacjami - koordynatora współpracy oraz zakresu zadań poszczególnych komórek organizacyjnych i jednostek organizacyjnych, które podejmują współpracę z Organizacjami.</w:t>
      </w:r>
    </w:p>
    <w:p w:rsid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6.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Priorytetowe zadania publiczne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8.</w:t>
      </w:r>
    </w:p>
    <w:p w:rsidR="006D41EE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Do priory</w:t>
      </w:r>
      <w:r w:rsidR="00304BA4" w:rsidRPr="004A2D1A">
        <w:rPr>
          <w:rFonts w:eastAsia="Times New Roman" w:cstheme="minorHAnsi"/>
          <w:color w:val="000000"/>
          <w:sz w:val="24"/>
          <w:szCs w:val="24"/>
          <w:lang w:eastAsia="pl-PL"/>
        </w:rPr>
        <w:t>tetowych zadań Gminy w roku 202</w:t>
      </w:r>
      <w:r w:rsidR="003D47F5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dotyczących współpracy finansowej i pozafinansowej z Organizacjami należą: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1.Zadania w zakresie kultury, sztuki, ochrony dóbr kultury i dziedzictwa kulturowego,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1)wspieranie działań propagujących dziedzictwo kulturowe Gminy, ochronę dóbr kultury, tradycji lokalnych, promocję tradycyjnych świąt i wydarzeń w Gminie i poza Gminą,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2)wspieranie imprez kulturalnych o charakterze gminnym, mających istotne znaczenie dla rozwoju kultury w Gminie,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3)tworzenie warunków do rozwoju amatorskiego ruchu artystycznego oraz zainteresowania wiedzą, sztuką, literaturą,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4)rozpoznawanie i zaspakajanie potrzeb oraz zainteresowań kulturalnych,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5)podtrzymywanie polskiej tradycji narodowej, pielęgnowanie polskości oraz rozwoju świadomości narodowej, obywatelskiej i kulturowej,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6)organizacja koncertów, wydarzeń, wycieczek, publikacji, wydawnictw,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7)zwiększanie dostępu do kultury w szczególności w sołectwach,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8)wykreowanie i promocja lokalnych produktów kulturalnych,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9)tworzenie wspólnego kalendarza wydarzeń kulturalnych w Gminie.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2.Zadania w zakresie działalności na rzecz osób starszych, mające na celu: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1)poprawę jakości poziomu życia poprzez aktywność społeczną,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2)integrację międzypokoleniową i przeciwdziałanie wykluczeniu społecznemu,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3)zwiększanie dostępu do zajęć edukacyjnych,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4)zagospodarowanie potencjału społeczno-zawodowego,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5)promowanie zdrowego stylu życia,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6)prowadzenie działań z zakresu profilaktyki zdrowotnej i rehabilitacji.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3.Zadania w zakresie kultury fizycznej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1)wspieranie działań mających na celu upowszechnienie kultury fizycznej, rekreacji ruchowej oraz promocji zdrowego trybu życia,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2)kształtowanie postaw </w:t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prosportowych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ich rozwój wśród dzieci i młodzieży,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3)podnoszenie poziomu sportowego dzieci i młodzieży,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4)budowanie oferty sportowo-rekreacyjnej i popularyzacja aktywnego i zdrowego stylu życia wśród mieszkańców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5)aktywizacja i integracja mieszkańców Gminy poprzez sport,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6)wspieranie sportowych reprezentacji Gminy w imprezach i zawodach sportowych,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7)upowszechnianie sportu wśród osób niepełnosprawnych.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4.Zadania w zakresie turystyki i krajoznawstwa,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1)upowszechnianie uprawiania turystyki w celu lepszego i pełniejszego wykorzystania walorów turystycznych, rekreacyjnych i krajoznawczych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2)promocja turystyczna Gminy oraz inspirowanie do tworzenia i rozwijania produktów turystycznych w tym miejscowości tematycznych,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3)wspieranie rozwoju infrastruktury informacyjnej i usługowej dla turystów.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5.Zadania z zakresu działalności wspomagającej rozwój wspólnot i społeczności lokalnych oraz działalności na rzecz Organizacji,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1)dofinansowanie wkładów własnych Organizacji w oparciu o tryby współpracy finansowej przewidzianej w Ustawie celem wsparcia realizacji projektów, na których realizację Organizacje pozyskały, bądź są w trakcie pozyskiwania środków finansowych ze źródeł zewnętrznych i służą realizacji zadań własnych Gminy, których cele są zgodne z celami zawartymi w dokumentach strategicznych oraz w Rocznym Programie Współpracy,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2)wspieranie partnerstwa lokalnego i aktywności obywatelskiej,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3)podnoszenie świadomości społecznej na temat celowości podejmowanych wspólnie działań na rzecz rozwiązywania lokalnych problemów,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4)doskonalenie i rozwijanie współpracy Gminy z Organizacjami działającymi na terenie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5)upowszechnianie wolontariatu.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6.Zadania z zakresu działalności na rzecz organizacji pozarządowych oraz podmiotów wymienionych w art. 3 ust. 3 Ustawy, w tym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1)zwiększenie udziału Organizacji w konsultacjach projektów aktów normatywnych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w dziedzinach dotyczących działalności statutowej tych Organizacji;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2)zwiększenie samodzielności  Organizacji w pozyskiwaniu funduszy zewnętrznych.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7.Zadania w zakresie edukacji, oświaty i wychowania,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1)zapobieganie wykluczeniu społecznemu oraz wyrównywanie szans edukacyjnych dzieci i młodzieży,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2)wspieranie działań przyczyniających się do zagospodarowania wolnego czasu dzieci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i młodzieży (w tym rozwijanie zdolności, zainteresowań, propagowanie zdrowego trybu życia oraz promowanie działań </w:t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wolontariackich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),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3)wzmocnienie działań wychowawczych i edukacyjnych na rzecz dzieci i młodzieży – kształtowanie postaw patriotycznych, pielęgnowanie tradycji lokalnych i regionalnych, rozwijanie aktywności obywatelskiej, kształtowanie postaw proekologicznych.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8.Zadania w zakresie przeciwdziałania uzależnieniom i patologiom społecznym w odwołaniu do priorytetów wyznaczonych w Gminnym Programie Profilaktyki i Rozwiązywania Problemów Alkoholowych oraz Przeciwdziałania Narkomanii, w szczególności: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1)organizacja imprez, spotkań i konkursów propagujących zasady bezpieczeństwa ruchu drogowego, przeciwdziałania patologiom społecznym i uzależnieniom, przemocy wśród dzieci i młodzieży,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2)organizacja czasu wolnego i wypoczynku dzieci i młodzieży.</w:t>
      </w:r>
    </w:p>
    <w:p w:rsidR="004A2D1A" w:rsidRP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7.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Okres realizacji Programu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9.</w:t>
      </w:r>
    </w:p>
    <w:p w:rsidR="006D41EE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 realizowany będzie </w:t>
      </w:r>
      <w:r w:rsidR="003B3773" w:rsidRPr="004A2D1A">
        <w:rPr>
          <w:rFonts w:eastAsia="Times New Roman" w:cstheme="minorHAnsi"/>
          <w:color w:val="000000"/>
          <w:sz w:val="24"/>
          <w:szCs w:val="24"/>
          <w:lang w:eastAsia="pl-PL"/>
        </w:rPr>
        <w:t>od 1 stycznia do 31 grudnia 202</w:t>
      </w:r>
      <w:r w:rsidR="003D47F5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8.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Sposób realizacji programu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10.</w:t>
      </w:r>
    </w:p>
    <w:p w:rsidR="006D41EE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1.Bezpośrednią współpracę z Organizacjami prowadzą w ramach swoich kompetencji komórki organizacyjne i jednostki organizacyjne Gminy realizujące zadania publiczne z zakresu wymienionego w Rozdziale 6. Programu.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2.Program realizowany będzie z wykorzystaniem finansowych i pozafinansowych form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współpracy z Organizacjami zapisanych w Rozdziale 5. Programu.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3.Realizację Programu ze strony Urzędu koreluje i monitoruje koordynator ds. współpracy z Organizacjami wyznaczony przez Burmistrza, do obowiązków, którego należy: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a.koordynacja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spraw z zakresu współpracy z Organizacjami, ułatwianie współpracy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z jednostkami organizacyjnymi Gminy,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b.koordynacja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przygotowywania zasad współpracy, projektów programów współpracy i ich konsultacji z Organizacjami,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c.sporządzanie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zbiorczych informacji na temat współpracy Urzędu z Organizacjami, w tym w szczególności o zadaniach publicznych zleconych do realizacji Organizacjom,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d.organizowanie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spotkań, prowadzenie konsultacji i udzielanie informacji.</w:t>
      </w:r>
    </w:p>
    <w:p w:rsidR="004A2D1A" w:rsidRP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9.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Finansowanie realizacji zadań publicznych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11.</w:t>
      </w:r>
    </w:p>
    <w:p w:rsid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1.Zlecanie zadań publicznych Organizacjom odbywa się poprzez wspieranie lub powierzanie realizacji zadań publicznych o charakterze rocznym.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2.W przypadku zadań własnych Gminy o charakterze wieloletnim, warunkiem ich realizacji jest ich uwzględnienie w Wieloletniej Prognozie Finansowej.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3.Program jest finansowany ze środków finansowych przeznaczonych na realizację zadań publicznych w ramach budżetu Gminy.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920866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.Wysokość środków przeznaczonych na realizację Programu zostanie określona w budżecie Gminy na rok 202</w:t>
      </w:r>
      <w:r w:rsidR="004476AC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10.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Ocena realizacji Programu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4A2D1A" w:rsidRPr="004A2D1A" w:rsidRDefault="006D41EE" w:rsidP="004A2D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§ 12.</w:t>
      </w:r>
    </w:p>
    <w:p w:rsidR="006D5D96" w:rsidRDefault="006D41EE" w:rsidP="006D5D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1.Realizacja Programu zostanie poddana ewaluacji podsumowującej, mającej na celu ocenę realizacji wykonania Programu.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2.Ustala się następujące wskaźniki niezbędne do oceny realizacji Programu: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1)liczba ogłoszonych otwartych konkursów ofert,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2)liczba ofert, złożonych w otwartych konkursach ofert, w tym ofert wspólnych, w tym liczba Organizacji,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3)liczba umów zawartych z Organizacjami na realizację zadań publicznych w ramach środków finansowych przekazywanych organizacjom przez Gminę,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4)liczba umów, które nie zostały zrealizowane lub zostały rozwiązane przez Gminę z przyczyn zależnych od Organizacji,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5)liczba Organizacji podejmujących po raz pierwszy zadania publiczne w oparciu o dotacje,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6)wysokości kwot udzielonych dotacji w poszczególnych obszarach,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7)wielkość wkładu własnego finansowego i pozafinansowego Organizacji w realizację zadań publicznych oraz wielkość środków finansowych przeznaczonych przez Gminę na realizację zadań własnych Organizacji,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8)liczba realizowanych umów partnerstwa określonych w ustawie z dnia 6 grudnia 2006 r. o zasadach prowadzenia polityki rozwoju (</w:t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98213F">
        <w:t>Dz. U. z 2024 r. poz. 324, 862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),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9)liczba projektów aktów normatywnych stanowionych przez Radę Miejską, konsultowanych przez Organizacje,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10)liczba spotkań oraz szkoleń adresowanych do Organizacji przez Gminę,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11)liczba wydarzeń realizowanych przez Organizacje wspieranych przez Gminę w różnych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formach promocyjnych i organizacyjnych.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4A2D1A" w:rsidRDefault="006D41EE" w:rsidP="006D5D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11.</w:t>
      </w: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Informacja o sposobie tworzenia Programu oraz przebiegu konsultacji</w:t>
      </w:r>
    </w:p>
    <w:p w:rsidR="004A2D1A" w:rsidRPr="004A2D1A" w:rsidRDefault="006D41EE" w:rsidP="0098213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§ 13.</w:t>
      </w:r>
    </w:p>
    <w:p w:rsidR="006D41EE" w:rsidRPr="004A2D1A" w:rsidRDefault="004A2D1A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1.</w:t>
      </w:r>
      <w:r w:rsidR="006D41EE" w:rsidRPr="004A2D1A">
        <w:rPr>
          <w:rFonts w:eastAsia="Times New Roman" w:cstheme="minorHAnsi"/>
          <w:color w:val="000000"/>
          <w:sz w:val="24"/>
          <w:szCs w:val="24"/>
          <w:lang w:eastAsia="pl-PL"/>
        </w:rPr>
        <w:t>Program przygoto</w:t>
      </w:r>
      <w:r w:rsidR="00D61DC3" w:rsidRPr="004A2D1A">
        <w:rPr>
          <w:rFonts w:eastAsia="Times New Roman" w:cstheme="minorHAnsi"/>
          <w:color w:val="000000"/>
          <w:sz w:val="24"/>
          <w:szCs w:val="24"/>
          <w:lang w:eastAsia="pl-PL"/>
        </w:rPr>
        <w:t>wy</w:t>
      </w:r>
      <w:r w:rsidR="006D41EE"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wany </w:t>
      </w:r>
      <w:r w:rsidR="00D61DC3"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jest </w:t>
      </w:r>
      <w:r w:rsidR="006D41EE" w:rsidRPr="004A2D1A">
        <w:rPr>
          <w:rFonts w:eastAsia="Times New Roman" w:cstheme="minorHAnsi"/>
          <w:color w:val="000000"/>
          <w:sz w:val="24"/>
          <w:szCs w:val="24"/>
          <w:lang w:eastAsia="pl-PL"/>
        </w:rPr>
        <w:t>zgodnie z zasadami określonymi w art. 5a ust. 1 i 4 ustawy o działalności pożytku publicznego i o wolontariacie. Program powstał na bazie aktualnie obowiązującego Programu współpracy Gminy Krynicy-Zdroju z organizacjami pozarządowymi na 202</w:t>
      </w:r>
      <w:r w:rsidR="0098213F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6D41EE"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 oraz na podstawie dotychczasowych doświadczeń Gminy we współpracy</w:t>
      </w:r>
      <w:r w:rsidR="00D61DC3"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organizacjami pozarządowymi. </w:t>
      </w:r>
      <w:r w:rsidR="006D41EE"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 został przygotowany w Urzędzie Miejskim w Krynicy-Zdroju przez koordynatora ds. współpracy z organizacjami pozarządowymi, na podstawie kierunków działań strategicznych Gminy, wniosków i propozycji przekazanych przez Organizacje, właściwe komórki organizacyjne i jednostki organizacyjne Gminy. W Programie zostały uwzględnione również dotychczasowe doświadczenia Gminy z bieżącej współpracy z Organizacjami oraz doświadczenia z realizacji poprzednich </w:t>
      </w:r>
      <w:r w:rsidR="008B08C2" w:rsidRPr="004A2D1A">
        <w:rPr>
          <w:rFonts w:eastAsia="Times New Roman" w:cstheme="minorHAnsi"/>
          <w:color w:val="000000"/>
          <w:sz w:val="24"/>
          <w:szCs w:val="24"/>
          <w:lang w:eastAsia="pl-PL"/>
        </w:rPr>
        <w:t>rocznych programów współpracy.</w:t>
      </w:r>
    </w:p>
    <w:p w:rsidR="00D61DC3" w:rsidRPr="0083541B" w:rsidRDefault="0083541B" w:rsidP="008354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2.</w:t>
      </w:r>
      <w:r w:rsidR="006D41EE" w:rsidRPr="0083541B">
        <w:rPr>
          <w:rFonts w:eastAsia="Times New Roman" w:cstheme="minorHAnsi"/>
          <w:color w:val="000000"/>
          <w:sz w:val="24"/>
          <w:szCs w:val="24"/>
          <w:lang w:eastAsia="pl-PL"/>
        </w:rPr>
        <w:t>Po uchwaleniu Programu przez Radę Miejską w Krynicy-Zdroju, Program zostanie upubliczniony:</w:t>
      </w:r>
      <w:r w:rsidR="006D41EE" w:rsidRPr="0083541B">
        <w:rPr>
          <w:rFonts w:eastAsia="Times New Roman" w:cstheme="minorHAnsi"/>
          <w:color w:val="000000"/>
          <w:sz w:val="24"/>
          <w:szCs w:val="24"/>
          <w:lang w:eastAsia="pl-PL"/>
        </w:rPr>
        <w:br/>
        <w:t>1)</w:t>
      </w:r>
      <w:r w:rsidR="00D61DC3" w:rsidRPr="008354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D41EE" w:rsidRPr="0083541B">
        <w:rPr>
          <w:rFonts w:eastAsia="Times New Roman" w:cstheme="minorHAnsi"/>
          <w:color w:val="000000"/>
          <w:sz w:val="24"/>
          <w:szCs w:val="24"/>
          <w:lang w:eastAsia="pl-PL"/>
        </w:rPr>
        <w:t>w Biuletynie Informacji Publicznej Gminy,</w:t>
      </w:r>
      <w:r w:rsidR="006D41EE" w:rsidRPr="0083541B">
        <w:rPr>
          <w:rFonts w:eastAsia="Times New Roman" w:cstheme="minorHAnsi"/>
          <w:color w:val="000000"/>
          <w:sz w:val="24"/>
          <w:szCs w:val="24"/>
          <w:lang w:eastAsia="pl-PL"/>
        </w:rPr>
        <w:br/>
        <w:t>2)</w:t>
      </w:r>
      <w:r w:rsidR="00D61DC3" w:rsidRPr="008354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D41EE" w:rsidRPr="0083541B">
        <w:rPr>
          <w:rFonts w:eastAsia="Times New Roman" w:cstheme="minorHAnsi"/>
          <w:color w:val="000000"/>
          <w:sz w:val="24"/>
          <w:szCs w:val="24"/>
          <w:lang w:eastAsia="pl-PL"/>
        </w:rPr>
        <w:t>na stronie internetowe</w:t>
      </w:r>
      <w:r w:rsidR="00D61DC3" w:rsidRPr="008354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 Urzędu </w:t>
      </w:r>
      <w:hyperlink r:id="rId6" w:history="1">
        <w:r w:rsidR="00D61DC3" w:rsidRPr="0083541B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www.krynica-zdroj.pl</w:t>
        </w:r>
      </w:hyperlink>
    </w:p>
    <w:p w:rsidR="006D41EE" w:rsidRPr="0083541B" w:rsidRDefault="0083541B" w:rsidP="008354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="006D41EE" w:rsidRPr="0083541B">
        <w:rPr>
          <w:rFonts w:eastAsia="Times New Roman" w:cstheme="minorHAnsi"/>
          <w:color w:val="000000"/>
          <w:sz w:val="24"/>
          <w:szCs w:val="24"/>
          <w:lang w:eastAsia="pl-PL"/>
        </w:rPr>
        <w:t>Roczne programy współpracy powstają w oparciu o konsultacje z Organizacjami oraz dotychczasowe doświadczenia współpracy Gminy z Organizacjami z lat ubiegłych. Organizacje konsultują projekt programu współpracy przed uchwaleniem go przez Radę Miejską zgodnie z uchwałą Nr LIV/382/2010 Rady Miejskiej w Krynicy-Zdroju z dnia 6 września 2010 r.</w:t>
      </w:r>
    </w:p>
    <w:p w:rsidR="00D83621" w:rsidRDefault="00D83621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D5D96" w:rsidRDefault="006D41EE" w:rsidP="006D5D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t>Rozdział 12.</w:t>
      </w: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Tryb powoływania i zasady działania komisji konkursowych do opiniowania ofert</w:t>
      </w: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w otwartych konkursach ofert</w:t>
      </w: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</w:p>
    <w:p w:rsidR="006D5D96" w:rsidRDefault="006D41EE" w:rsidP="006D5D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t>§ 14.</w:t>
      </w:r>
    </w:p>
    <w:p w:rsidR="006D41EE" w:rsidRPr="004A2D1A" w:rsidRDefault="006D41EE" w:rsidP="006D5D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D5D96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1.Komisje konkursowe powoływane są w celu opiniowania złożonych ofert w ramach konkursów ofert na realizację zadań publicznych z obszarów określonych w Rozdziale 6.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2.Burmistrz powołuje w drodze zarządzenia komisję konkursową, zwaną dalej „Komisją” oraz ustala jej skład osobowy i tryb pracy.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3.Do każdego konkursu ofert powoływana jest odrębna Komisja. Komisja ta jest organem opiniodawczo-doradczym Burmistrza.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4.Skład Komisji ustala się za zasadach określonych w art. 15 ust. 2b oraz 2d-2da ustawy z 2003 r. o działalności pożytku publicznego i o wolontariacie.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W skład Komisji wchodzą przedstawiciele Burmistrza oraz Organizacji. Przedstawicieli wybiera Burmistrz spośród zgłoszonych przez Organizacje Kandydatur, z wyłączeniem osób reprezentujących Organizacje biorące udział w konkursie.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5. W pracach Komisji mogą uczestniczyć, osoby posiadające specjalistyczną wiedzę w dziedzinie obejmującej zakres zadań publicznych, których konkurs dotyczy. Komisja może korzystać z pomocy tych osób na zasadach określonych w art. 2e-2ea ust. 15 ustawy z 2003 r. o działalności pożytku publicznego i o wolontariacie.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6.Na pierwszym posiedzeniu, członkowie Komisji składają oświadczenia o bezstronności.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7.Do członków Komisji biorących udział w opiniowaniu ofert stosuje się przepisy ustawy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z dnia 14 czerwca 1960 r. – Kodeks postępowania administracyjnego (</w:t>
      </w:r>
      <w:proofErr w:type="spellStart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98213F">
        <w:t>Dz. U. z 2024 r. poz. 572)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 wyłączenia pracownika.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8.Komisja obraduje na posiedzeniach jawnych.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9.Uczestnictwo w pracach Komisji jest nieodpłatne.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10.Oceny formalnej złożonych ofert, polegającej na sprawdzeniu zgodności ofert z wymogami określonymi w ogłoszeniu konkursowym dokonuje pracownik właściwej merytorycznie komórki organizacyjnej lub jednostki organizacyjnej Gminy.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11. Opinia Komisji zawiera również informacje dotyczące rzetelności oraz terminowości wykonywania oraz rozliczania zadań przez daną Organizację w latach poprzednich.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12.Komisja dokonuje oceny ofert, które przeszły weryfikację formalną, zgodnie z zasadami i warunkami określonymi w ogłoszeniu konkursu ofert oraz proponuje wysokość dotacji.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13.Komisja dokonuje oceny merytorycznej oferty na podstawie indywidualnej karty oceny oferty, która zostanie opracowana. Wzór karty oceny oferty będzie załącznikiem do ogłoszenia w konkursie ofert.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14.Komisja dokumentuje swoją pracę w formie pisemnej zgodnie z ogłoszonymi warunkami konkursu. Karty oceny oferty dołączone są i przechowywane z dokumentacją konkursu.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15. Burmistrz podejmuje decyzję o wyborze Organizacji, które uzyskały dotację w wyniku przeprowadzonego konkursu ofert oraz o wysokości tych dotacji.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  <w:t>16.Wykaz Organizacji, które przystąpiły do konkursu ofert oraz wykaz Organizacji, którym przyznano dotację, rodzaj zleconych zadań i kwoty przyznane na ic</w:t>
      </w:r>
      <w:r w:rsidR="00CF03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h realizację zostanie ogłoszony </w:t>
      </w: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t>w Biuletynie Informacji Publicznej Gminy, na stronie internetowej Urzędu www.krynica-zdroj.pl oraz na tablicy ogłoszeń Urzędu.</w:t>
      </w:r>
    </w:p>
    <w:p w:rsidR="00AA3525" w:rsidRPr="004A2D1A" w:rsidRDefault="006D41EE" w:rsidP="004A2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2D1A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sectPr w:rsidR="00AA3525" w:rsidRPr="004A2D1A" w:rsidSect="00B46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4566"/>
    <w:multiLevelType w:val="hybridMultilevel"/>
    <w:tmpl w:val="5CF6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F1F98"/>
    <w:multiLevelType w:val="hybridMultilevel"/>
    <w:tmpl w:val="AC9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EE"/>
    <w:rsid w:val="00265907"/>
    <w:rsid w:val="0029228A"/>
    <w:rsid w:val="003016D2"/>
    <w:rsid w:val="00304BA4"/>
    <w:rsid w:val="003B3773"/>
    <w:rsid w:val="003D47F5"/>
    <w:rsid w:val="004476AC"/>
    <w:rsid w:val="004A2D1A"/>
    <w:rsid w:val="00514CF9"/>
    <w:rsid w:val="0054499B"/>
    <w:rsid w:val="006D41EE"/>
    <w:rsid w:val="006D5D96"/>
    <w:rsid w:val="006E3094"/>
    <w:rsid w:val="006E7C41"/>
    <w:rsid w:val="00731486"/>
    <w:rsid w:val="00797672"/>
    <w:rsid w:val="0083541B"/>
    <w:rsid w:val="008B08C2"/>
    <w:rsid w:val="00920866"/>
    <w:rsid w:val="0098213F"/>
    <w:rsid w:val="009F3F29"/>
    <w:rsid w:val="00A06798"/>
    <w:rsid w:val="00AA3525"/>
    <w:rsid w:val="00B462EE"/>
    <w:rsid w:val="00B53C25"/>
    <w:rsid w:val="00B720B1"/>
    <w:rsid w:val="00B76E0A"/>
    <w:rsid w:val="00BD11D0"/>
    <w:rsid w:val="00CF030A"/>
    <w:rsid w:val="00D61DC3"/>
    <w:rsid w:val="00D813E8"/>
    <w:rsid w:val="00D83621"/>
    <w:rsid w:val="00FD441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1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1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ynica-zdroj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3502</Words>
  <Characters>21015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2024-10-03T10:13:00Z</cp:lastPrinted>
  <dcterms:created xsi:type="dcterms:W3CDTF">2023-10-03T13:38:00Z</dcterms:created>
  <dcterms:modified xsi:type="dcterms:W3CDTF">2024-10-03T10:13:00Z</dcterms:modified>
</cp:coreProperties>
</file>